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left="67"/>
        <w:spacing w:before="228" w:line="219" w:lineRule="auto"/>
        <w:outlineLvl w:val="0"/>
        <w:rPr>
          <w:rFonts w:ascii="SimSun" w:hAnsi="SimSun" w:eastAsia="SimSun" w:cs="SimSun"/>
          <w:sz w:val="70"/>
          <w:szCs w:val="70"/>
        </w:rPr>
      </w:pPr>
      <w:r>
        <w:rPr>
          <w:rFonts w:ascii="SimSun" w:hAnsi="SimSun" w:eastAsia="SimSun" w:cs="SimSun"/>
          <w:sz w:val="70"/>
          <w:szCs w:val="70"/>
          <w:b/>
          <w:bCs/>
          <w:color w:val="F81800"/>
          <w:spacing w:val="-51"/>
          <w:w w:val="81"/>
        </w:rPr>
        <w:t>上海市建设工程招标投标管理办公室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spacing w:line="357" w:lineRule="auto"/>
        <w:rPr>
          <w:rFonts w:ascii="Arial"/>
          <w:sz w:val="21"/>
        </w:rPr>
      </w:pPr>
      <w:r/>
    </w:p>
    <w:p>
      <w:pPr>
        <w:pStyle w:val="BodyText"/>
        <w:ind w:left="2849"/>
        <w:spacing w:before="104" w:line="223" w:lineRule="auto"/>
        <w:rPr>
          <w:sz w:val="32"/>
          <w:szCs w:val="32"/>
        </w:rPr>
      </w:pPr>
      <w:r>
        <w:rPr>
          <w:sz w:val="32"/>
          <w:szCs w:val="32"/>
          <w:spacing w:val="34"/>
        </w:rPr>
        <w:t>沪建招(2023)8号</w:t>
      </w:r>
    </w:p>
    <w:p>
      <w:pPr>
        <w:spacing w:line="438" w:lineRule="auto"/>
        <w:rPr>
          <w:rFonts w:ascii="Arial"/>
          <w:sz w:val="21"/>
        </w:rPr>
      </w:pPr>
      <w:r/>
    </w:p>
    <w:p>
      <w:pPr>
        <w:spacing w:line="30" w:lineRule="exact"/>
        <w:rPr/>
      </w:pPr>
      <w:r>
        <w:rPr/>
        <w:drawing>
          <wp:inline distT="0" distB="0" distL="0" distR="0">
            <wp:extent cx="5353024" cy="19023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53024" cy="1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3" w:lineRule="auto"/>
        <w:rPr>
          <w:rFonts w:ascii="Arial"/>
          <w:sz w:val="21"/>
        </w:rPr>
      </w:pPr>
      <w:r/>
    </w:p>
    <w:p>
      <w:pPr>
        <w:spacing w:line="334" w:lineRule="auto"/>
        <w:rPr>
          <w:rFonts w:ascii="Arial"/>
          <w:sz w:val="21"/>
        </w:rPr>
      </w:pPr>
      <w:r/>
    </w:p>
    <w:p>
      <w:pPr>
        <w:ind w:left="745"/>
        <w:spacing w:before="117" w:line="641" w:lineRule="exact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-1"/>
          <w:position w:val="20"/>
        </w:rPr>
        <w:t>关于调整本市房屋建筑和市政工程施工招标</w:t>
      </w:r>
    </w:p>
    <w:p>
      <w:pPr>
        <w:ind w:left="2065"/>
        <w:spacing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-2"/>
        </w:rPr>
        <w:t>涉及规费等相关事项的通知</w:t>
      </w:r>
    </w:p>
    <w:p>
      <w:pPr>
        <w:spacing w:line="359" w:lineRule="auto"/>
        <w:rPr>
          <w:rFonts w:ascii="Arial"/>
          <w:sz w:val="21"/>
        </w:rPr>
      </w:pPr>
      <w:r/>
    </w:p>
    <w:p>
      <w:pPr>
        <w:spacing w:line="360" w:lineRule="auto"/>
        <w:rPr>
          <w:rFonts w:ascii="Arial"/>
          <w:sz w:val="21"/>
        </w:rPr>
      </w:pPr>
      <w:r/>
    </w:p>
    <w:p>
      <w:pPr>
        <w:pStyle w:val="BodyText"/>
        <w:ind w:left="59"/>
        <w:spacing w:before="108" w:line="221" w:lineRule="auto"/>
        <w:rPr/>
      </w:pPr>
      <w:r>
        <w:rPr>
          <w:spacing w:val="-18"/>
        </w:rPr>
        <w:t>各有关单位：</w:t>
      </w:r>
    </w:p>
    <w:p>
      <w:pPr>
        <w:pStyle w:val="BodyText"/>
        <w:ind w:left="44" w:firstLine="695"/>
        <w:spacing w:before="256" w:line="359" w:lineRule="auto"/>
        <w:tabs>
          <w:tab w:val="left" w:pos="220"/>
        </w:tabs>
        <w:rPr/>
      </w:pPr>
      <w:r>
        <w:rPr>
          <w:spacing w:val="-3"/>
        </w:rPr>
        <w:t>为贯彻落实《上海市住房和城乡建设管理委关于印发&lt;</w:t>
      </w:r>
      <w:r>
        <w:rPr/>
        <w:t xml:space="preserve"> </w:t>
      </w:r>
      <w:r>
        <w:rPr>
          <w:spacing w:val="-8"/>
        </w:rPr>
        <w:t>上海市深化工程造价管理改革实施方案&gt;的通知》(沪建标定</w:t>
      </w:r>
      <w:r>
        <w:rPr>
          <w:spacing w:val="12"/>
        </w:rPr>
        <w:t xml:space="preserve"> </w:t>
      </w:r>
      <w:r>
        <w:rPr/>
        <w:tab/>
      </w:r>
      <w:r>
        <w:rPr/>
        <w:t>(2021)701</w:t>
      </w:r>
      <w:r>
        <w:rPr>
          <w:spacing w:val="99"/>
        </w:rPr>
        <w:t xml:space="preserve"> </w:t>
      </w:r>
      <w:r>
        <w:rPr/>
        <w:t>号)和《关于调整本市建设工程规费项</w:t>
      </w:r>
      <w:r>
        <w:rPr>
          <w:spacing w:val="-1"/>
        </w:rPr>
        <w:t>目设置</w:t>
      </w:r>
      <w:r>
        <w:rPr/>
        <w:t xml:space="preserve"> </w:t>
      </w:r>
      <w:r>
        <w:rPr>
          <w:spacing w:val="2"/>
        </w:rPr>
        <w:t>等相关事项的通知》(沪建标定联(2023)12</w:t>
      </w:r>
      <w:r>
        <w:rPr>
          <w:spacing w:val="1"/>
        </w:rPr>
        <w:t>0号)文件精神，</w:t>
      </w:r>
      <w:r>
        <w:rPr/>
        <w:t xml:space="preserve"> </w:t>
      </w:r>
      <w:r>
        <w:rPr>
          <w:spacing w:val="-8"/>
        </w:rPr>
        <w:t>配合推进工程造价市场化改革，激发建筑市场活力，拟调整</w:t>
      </w:r>
      <w:r>
        <w:rPr>
          <w:spacing w:val="4"/>
        </w:rPr>
        <w:t xml:space="preserve"> </w:t>
      </w:r>
      <w:r>
        <w:rPr>
          <w:spacing w:val="-3"/>
        </w:rPr>
        <w:t>《上海市房屋建筑和市政工程施工招标评标办法》(沪建建</w:t>
      </w:r>
      <w:r>
        <w:rPr>
          <w:spacing w:val="17"/>
        </w:rPr>
        <w:t xml:space="preserve"> </w:t>
      </w:r>
      <w:r>
        <w:rPr>
          <w:spacing w:val="5"/>
        </w:rPr>
        <w:t>管〔2019〕792号，以下简称评标办法</w:t>
      </w:r>
      <w:r>
        <w:rPr>
          <w:spacing w:val="4"/>
        </w:rPr>
        <w:t>)相关内容，现通知</w:t>
      </w:r>
    </w:p>
    <w:p>
      <w:pPr>
        <w:pStyle w:val="BodyText"/>
        <w:ind w:left="19"/>
        <w:spacing w:line="222" w:lineRule="auto"/>
        <w:rPr/>
      </w:pPr>
      <w:r>
        <w:rPr>
          <w:spacing w:val="-22"/>
        </w:rPr>
        <w:t>如下：</w:t>
      </w:r>
    </w:p>
    <w:p>
      <w:pPr>
        <w:pStyle w:val="BodyText"/>
        <w:ind w:left="709"/>
        <w:spacing w:before="281" w:line="222" w:lineRule="auto"/>
        <w:rPr/>
      </w:pPr>
      <w:r>
        <w:rPr>
          <w:spacing w:val="-9"/>
        </w:rPr>
        <w:t>一、调整合理最低价计算方法</w:t>
      </w:r>
    </w:p>
    <w:p>
      <w:pPr>
        <w:pStyle w:val="BodyText"/>
        <w:ind w:left="739"/>
        <w:spacing w:before="253" w:line="222" w:lineRule="auto"/>
        <w:rPr/>
      </w:pPr>
      <w:r>
        <w:rPr>
          <w:spacing w:val="10"/>
        </w:rPr>
        <w:t>自2023年10月1日起，本市建设工程费用组</w:t>
      </w:r>
      <w:r>
        <w:rPr>
          <w:spacing w:val="9"/>
        </w:rPr>
        <w:t>成中取消</w:t>
      </w:r>
    </w:p>
    <w:p>
      <w:pPr>
        <w:spacing w:line="222" w:lineRule="auto"/>
        <w:sectPr>
          <w:footerReference w:type="default" r:id="rId1"/>
          <w:pgSz w:w="11900" w:h="16830"/>
          <w:pgMar w:top="1430" w:right="1664" w:bottom="1251" w:left="1720" w:header="0" w:footer="952" w:gutter="0"/>
        </w:sectPr>
        <w:rPr/>
      </w:pPr>
    </w:p>
    <w:p>
      <w:pPr>
        <w:pStyle w:val="BodyText"/>
        <w:ind w:right="270"/>
        <w:spacing w:before="65" w:line="381" w:lineRule="auto"/>
        <w:jc w:val="both"/>
        <w:rPr>
          <w:sz w:val="31"/>
          <w:szCs w:val="31"/>
        </w:rPr>
      </w:pPr>
      <w:r>
        <w:rPr>
          <w:sz w:val="31"/>
          <w:szCs w:val="31"/>
          <w:spacing w:val="4"/>
        </w:rPr>
        <w:t>规费项目单列，将施工现场作业人员养老保险、医疗保险(含</w:t>
      </w:r>
      <w:r>
        <w:rPr>
          <w:sz w:val="31"/>
          <w:szCs w:val="31"/>
          <w:spacing w:val="14"/>
        </w:rPr>
        <w:t xml:space="preserve"> </w:t>
      </w:r>
      <w:r>
        <w:rPr>
          <w:sz w:val="31"/>
          <w:szCs w:val="31"/>
          <w:spacing w:val="16"/>
        </w:rPr>
        <w:t>生育保险)、失业保险、工伤保险和住房公积金列入人工单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23"/>
        </w:rPr>
        <w:t>价，管理人员养老保险、医疗保险(含生育保险</w:t>
      </w:r>
      <w:r>
        <w:rPr>
          <w:sz w:val="31"/>
          <w:szCs w:val="31"/>
          <w:spacing w:val="22"/>
        </w:rPr>
        <w:t>)、失业保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0"/>
        </w:rPr>
        <w:t>险、工伤保险和住房公积金列入企业管理费。评标办法中合</w:t>
      </w:r>
    </w:p>
    <w:p>
      <w:pPr>
        <w:pStyle w:val="BodyText"/>
        <w:spacing w:before="1" w:line="220" w:lineRule="auto"/>
        <w:jc w:val="right"/>
        <w:rPr>
          <w:sz w:val="31"/>
          <w:szCs w:val="31"/>
        </w:rPr>
      </w:pPr>
      <w:r>
        <w:rPr>
          <w:sz w:val="31"/>
          <w:szCs w:val="31"/>
          <w:spacing w:val="9"/>
        </w:rPr>
        <w:t>理最低价计算方法依据上述规则同步调整，按以下方式执行：</w:t>
      </w:r>
    </w:p>
    <w:p>
      <w:pPr>
        <w:pStyle w:val="BodyText"/>
        <w:ind w:left="810"/>
        <w:spacing w:before="298" w:line="221" w:lineRule="auto"/>
        <w:rPr>
          <w:sz w:val="31"/>
          <w:szCs w:val="31"/>
        </w:rPr>
      </w:pPr>
      <w:r>
        <w:rPr>
          <w:sz w:val="31"/>
          <w:szCs w:val="31"/>
          <w:spacing w:val="26"/>
        </w:rPr>
        <w:t>(一)采用单价合同</w:t>
      </w:r>
    </w:p>
    <w:p>
      <w:pPr>
        <w:pStyle w:val="BodyText"/>
        <w:ind w:left="639"/>
        <w:spacing w:before="272" w:line="222" w:lineRule="auto"/>
        <w:rPr>
          <w:sz w:val="31"/>
          <w:szCs w:val="31"/>
        </w:rPr>
      </w:pPr>
      <w:r>
        <w:rPr>
          <w:sz w:val="31"/>
          <w:szCs w:val="31"/>
          <w:spacing w:val="12"/>
        </w:rPr>
        <w:t>1、剔除下列各项中最高的</w:t>
      </w:r>
      <w:r>
        <w:rPr>
          <w:rFonts w:ascii="SimSun" w:hAnsi="SimSun" w:eastAsia="SimSun" w:cs="SimSun"/>
          <w:sz w:val="31"/>
          <w:szCs w:val="31"/>
          <w:spacing w:val="12"/>
        </w:rPr>
        <w:t>P</w:t>
      </w:r>
      <w:r>
        <w:rPr>
          <w:rFonts w:ascii="SimSun" w:hAnsi="SimSun" w:eastAsia="SimSun" w:cs="SimSun"/>
          <w:sz w:val="31"/>
          <w:szCs w:val="31"/>
          <w:spacing w:val="-41"/>
        </w:rPr>
        <w:t xml:space="preserve"> </w:t>
      </w:r>
      <w:r>
        <w:rPr>
          <w:sz w:val="31"/>
          <w:szCs w:val="31"/>
          <w:spacing w:val="12"/>
        </w:rPr>
        <w:t>个和最低的</w:t>
      </w:r>
      <w:r>
        <w:rPr>
          <w:rFonts w:ascii="SimSun" w:hAnsi="SimSun" w:eastAsia="SimSun" w:cs="SimSun"/>
          <w:sz w:val="31"/>
          <w:szCs w:val="31"/>
          <w:spacing w:val="12"/>
        </w:rPr>
        <w:t>Q</w:t>
      </w:r>
      <w:r>
        <w:rPr>
          <w:rFonts w:ascii="SimSun" w:hAnsi="SimSun" w:eastAsia="SimSun" w:cs="SimSun"/>
          <w:sz w:val="31"/>
          <w:szCs w:val="31"/>
          <w:spacing w:val="-40"/>
        </w:rPr>
        <w:t xml:space="preserve"> </w:t>
      </w:r>
      <w:r>
        <w:rPr>
          <w:sz w:val="31"/>
          <w:szCs w:val="31"/>
          <w:spacing w:val="12"/>
        </w:rPr>
        <w:t>个投标报价，</w:t>
      </w:r>
    </w:p>
    <w:p>
      <w:pPr>
        <w:pStyle w:val="BodyText"/>
        <w:spacing w:before="285" w:line="222" w:lineRule="auto"/>
        <w:rPr>
          <w:rFonts w:ascii="SimSun" w:hAnsi="SimSun" w:eastAsia="SimSun" w:cs="SimSun"/>
          <w:sz w:val="31"/>
          <w:szCs w:val="31"/>
        </w:rPr>
      </w:pPr>
      <w:r>
        <w:rPr>
          <w:sz w:val="31"/>
          <w:szCs w:val="31"/>
          <w:spacing w:val="15"/>
        </w:rPr>
        <w:t>计算各项剩余报价算术平均值之和，记为</w:t>
      </w:r>
      <w:r>
        <w:rPr>
          <w:rFonts w:ascii="SimSun" w:hAnsi="SimSun" w:eastAsia="SimSun" w:cs="SimSun"/>
          <w:sz w:val="31"/>
          <w:szCs w:val="31"/>
          <w:spacing w:val="15"/>
        </w:rPr>
        <w:t>R:</w:t>
      </w:r>
    </w:p>
    <w:p>
      <w:pPr>
        <w:pStyle w:val="BodyText"/>
        <w:ind w:left="810"/>
        <w:spacing w:before="256" w:line="221" w:lineRule="auto"/>
        <w:rPr>
          <w:sz w:val="31"/>
          <w:szCs w:val="31"/>
        </w:rPr>
      </w:pPr>
      <w:r>
        <w:rPr>
          <w:sz w:val="31"/>
          <w:szCs w:val="31"/>
          <w:spacing w:val="21"/>
        </w:rPr>
        <w:t>(1)分部分项清单各子目报价</w:t>
      </w:r>
    </w:p>
    <w:p>
      <w:pPr>
        <w:pStyle w:val="BodyText"/>
        <w:ind w:left="810"/>
        <w:spacing w:before="279" w:line="221" w:lineRule="auto"/>
        <w:rPr>
          <w:sz w:val="31"/>
          <w:szCs w:val="31"/>
        </w:rPr>
      </w:pPr>
      <w:r>
        <w:rPr>
          <w:sz w:val="31"/>
          <w:szCs w:val="31"/>
          <w:spacing w:val="19"/>
        </w:rPr>
        <w:t>(2)单价措施项目清单各子目报价</w:t>
      </w:r>
    </w:p>
    <w:p>
      <w:pPr>
        <w:pStyle w:val="BodyText"/>
        <w:ind w:left="810"/>
        <w:spacing w:before="279" w:line="221" w:lineRule="auto"/>
        <w:rPr>
          <w:sz w:val="31"/>
          <w:szCs w:val="31"/>
        </w:rPr>
      </w:pPr>
      <w:r>
        <w:rPr>
          <w:sz w:val="31"/>
          <w:szCs w:val="31"/>
          <w:spacing w:val="26"/>
        </w:rPr>
        <w:t>(3)总价措施项目清单总报价(含单价措施增项)</w:t>
      </w:r>
    </w:p>
    <w:p>
      <w:pPr>
        <w:pStyle w:val="BodyText"/>
        <w:ind w:left="810"/>
        <w:spacing w:before="269" w:line="649" w:lineRule="exact"/>
        <w:rPr>
          <w:sz w:val="31"/>
          <w:szCs w:val="31"/>
        </w:rPr>
      </w:pPr>
      <w:r>
        <w:rPr>
          <w:sz w:val="31"/>
          <w:szCs w:val="31"/>
          <w:spacing w:val="29"/>
          <w:position w:val="25"/>
        </w:rPr>
        <w:t>(4)其他项目清单总报价(扣除暂列金额与专业工程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-2"/>
        </w:rPr>
        <w:t>暂估价)。</w:t>
      </w:r>
    </w:p>
    <w:p>
      <w:pPr>
        <w:pStyle w:val="BodyText"/>
        <w:ind w:left="699"/>
        <w:spacing w:before="273" w:line="651" w:lineRule="exact"/>
        <w:rPr>
          <w:sz w:val="31"/>
          <w:szCs w:val="31"/>
        </w:rPr>
      </w:pPr>
      <w:r>
        <w:rPr>
          <w:sz w:val="31"/>
          <w:szCs w:val="31"/>
          <w:spacing w:val="11"/>
          <w:position w:val="25"/>
        </w:rPr>
        <w:t>当计算合理最低价的投标人≤3家，则不再剔除报价。</w:t>
      </w:r>
    </w:p>
    <w:p>
      <w:pPr>
        <w:pStyle w:val="BodyText"/>
        <w:ind w:left="639"/>
        <w:spacing w:line="222" w:lineRule="auto"/>
        <w:rPr>
          <w:sz w:val="31"/>
          <w:szCs w:val="31"/>
        </w:rPr>
      </w:pPr>
      <w:r>
        <w:rPr>
          <w:sz w:val="31"/>
          <w:szCs w:val="31"/>
          <w:spacing w:val="22"/>
        </w:rPr>
        <w:t>2、</w:t>
      </w:r>
      <w:r>
        <w:rPr>
          <w:sz w:val="31"/>
          <w:szCs w:val="31"/>
          <w:spacing w:val="-87"/>
        </w:rPr>
        <w:t xml:space="preserve"> </w:t>
      </w:r>
      <w:r>
        <w:rPr>
          <w:sz w:val="31"/>
          <w:szCs w:val="31"/>
          <w:spacing w:val="22"/>
        </w:rPr>
        <w:t>合理最低价=</w:t>
      </w:r>
      <w:r>
        <w:rPr>
          <w:rFonts w:ascii="SimSun" w:hAnsi="SimSun" w:eastAsia="SimSun" w:cs="SimSun"/>
          <w:sz w:val="31"/>
          <w:szCs w:val="31"/>
          <w:spacing w:val="22"/>
        </w:rPr>
        <w:t>R×(1-</w:t>
      </w:r>
      <w:r>
        <w:rPr>
          <w:rFonts w:ascii="SimSun" w:hAnsi="SimSun" w:eastAsia="SimSun" w:cs="SimSun"/>
          <w:sz w:val="31"/>
          <w:szCs w:val="31"/>
          <w:spacing w:val="64"/>
        </w:rPr>
        <w:t xml:space="preserve"> </w:t>
      </w:r>
      <w:r>
        <w:rPr>
          <w:sz w:val="31"/>
          <w:szCs w:val="31"/>
          <w:spacing w:val="22"/>
        </w:rPr>
        <w:t>下浮率)×(1+税率)+</w:t>
      </w:r>
      <w:r>
        <w:rPr>
          <w:sz w:val="31"/>
          <w:szCs w:val="31"/>
          <w:spacing w:val="21"/>
        </w:rPr>
        <w:t>暂列金</w:t>
      </w:r>
    </w:p>
    <w:p>
      <w:pPr>
        <w:pStyle w:val="BodyText"/>
        <w:spacing w:before="263" w:line="654" w:lineRule="exact"/>
        <w:rPr>
          <w:sz w:val="31"/>
          <w:szCs w:val="31"/>
        </w:rPr>
      </w:pPr>
      <w:r>
        <w:rPr>
          <w:sz w:val="31"/>
          <w:szCs w:val="31"/>
          <w:spacing w:val="20"/>
          <w:position w:val="26"/>
        </w:rPr>
        <w:t>额与专业工程暂估价的汇总合价×(1+税率)</w:t>
      </w:r>
    </w:p>
    <w:p>
      <w:pPr>
        <w:pStyle w:val="BodyText"/>
        <w:ind w:left="810"/>
        <w:spacing w:before="1" w:line="222" w:lineRule="auto"/>
        <w:rPr>
          <w:sz w:val="31"/>
          <w:szCs w:val="31"/>
        </w:rPr>
      </w:pPr>
      <w:r>
        <w:rPr>
          <w:sz w:val="31"/>
          <w:szCs w:val="31"/>
          <w:spacing w:val="26"/>
        </w:rPr>
        <w:t>(二)采用总价合同</w:t>
      </w:r>
    </w:p>
    <w:p>
      <w:pPr>
        <w:pStyle w:val="BodyText"/>
        <w:ind w:left="639"/>
        <w:spacing w:before="265" w:line="651" w:lineRule="exact"/>
        <w:rPr>
          <w:sz w:val="31"/>
          <w:szCs w:val="31"/>
        </w:rPr>
      </w:pPr>
      <w:r>
        <w:rPr>
          <w:sz w:val="31"/>
          <w:szCs w:val="31"/>
          <w:spacing w:val="18"/>
          <w:position w:val="25"/>
        </w:rPr>
        <w:t>1、</w:t>
      </w:r>
      <w:r>
        <w:rPr>
          <w:sz w:val="31"/>
          <w:szCs w:val="31"/>
          <w:spacing w:val="-86"/>
          <w:position w:val="25"/>
        </w:rPr>
        <w:t xml:space="preserve"> </w:t>
      </w:r>
      <w:r>
        <w:rPr>
          <w:sz w:val="31"/>
          <w:szCs w:val="31"/>
          <w:spacing w:val="18"/>
          <w:position w:val="25"/>
        </w:rPr>
        <w:t>剔除最高的</w:t>
      </w:r>
      <w:r>
        <w:rPr>
          <w:rFonts w:ascii="SimSun" w:hAnsi="SimSun" w:eastAsia="SimSun" w:cs="SimSun"/>
          <w:sz w:val="31"/>
          <w:szCs w:val="31"/>
          <w:spacing w:val="18"/>
          <w:position w:val="25"/>
        </w:rPr>
        <w:t>P</w:t>
      </w:r>
      <w:r>
        <w:rPr>
          <w:rFonts w:ascii="SimSun" w:hAnsi="SimSun" w:eastAsia="SimSun" w:cs="SimSun"/>
          <w:sz w:val="31"/>
          <w:szCs w:val="31"/>
          <w:spacing w:val="-43"/>
          <w:position w:val="25"/>
        </w:rPr>
        <w:t xml:space="preserve"> </w:t>
      </w:r>
      <w:r>
        <w:rPr>
          <w:sz w:val="31"/>
          <w:szCs w:val="31"/>
          <w:spacing w:val="18"/>
          <w:position w:val="25"/>
        </w:rPr>
        <w:t>个和最低的</w:t>
      </w:r>
      <w:r>
        <w:rPr>
          <w:rFonts w:ascii="SimSun" w:hAnsi="SimSun" w:eastAsia="SimSun" w:cs="SimSun"/>
          <w:sz w:val="31"/>
          <w:szCs w:val="31"/>
          <w:spacing w:val="18"/>
          <w:position w:val="25"/>
        </w:rPr>
        <w:t>Q</w:t>
      </w:r>
      <w:r>
        <w:rPr>
          <w:rFonts w:ascii="SimSun" w:hAnsi="SimSun" w:eastAsia="SimSun" w:cs="SimSun"/>
          <w:sz w:val="31"/>
          <w:szCs w:val="31"/>
          <w:spacing w:val="-40"/>
          <w:position w:val="25"/>
        </w:rPr>
        <w:t xml:space="preserve"> </w:t>
      </w:r>
      <w:r>
        <w:rPr>
          <w:sz w:val="31"/>
          <w:szCs w:val="31"/>
          <w:spacing w:val="18"/>
          <w:position w:val="25"/>
        </w:rPr>
        <w:t>个投标总报价。当计算</w:t>
      </w:r>
    </w:p>
    <w:p>
      <w:pPr>
        <w:pStyle w:val="BodyText"/>
        <w:spacing w:before="1" w:line="222" w:lineRule="auto"/>
        <w:rPr>
          <w:sz w:val="31"/>
          <w:szCs w:val="31"/>
        </w:rPr>
      </w:pPr>
      <w:r>
        <w:rPr>
          <w:sz w:val="31"/>
          <w:szCs w:val="31"/>
          <w:spacing w:val="13"/>
        </w:rPr>
        <w:t>合理最低价的投标人≤5家，则不再剔除报价。</w:t>
      </w:r>
    </w:p>
    <w:p>
      <w:pPr>
        <w:pStyle w:val="BodyText"/>
        <w:ind w:left="639"/>
        <w:spacing w:before="275" w:line="638" w:lineRule="exact"/>
        <w:rPr>
          <w:sz w:val="31"/>
          <w:szCs w:val="31"/>
        </w:rPr>
      </w:pPr>
      <w:r>
        <w:rPr>
          <w:sz w:val="31"/>
          <w:szCs w:val="31"/>
          <w:spacing w:val="21"/>
          <w:position w:val="24"/>
        </w:rPr>
        <w:t>2、</w:t>
      </w:r>
      <w:r>
        <w:rPr>
          <w:sz w:val="31"/>
          <w:szCs w:val="31"/>
          <w:spacing w:val="-47"/>
          <w:position w:val="24"/>
        </w:rPr>
        <w:t xml:space="preserve"> </w:t>
      </w:r>
      <w:r>
        <w:rPr>
          <w:sz w:val="31"/>
          <w:szCs w:val="31"/>
          <w:spacing w:val="21"/>
          <w:position w:val="24"/>
        </w:rPr>
        <w:t>合理最低价=剔除后其余投标总报价算</w:t>
      </w:r>
      <w:r>
        <w:rPr>
          <w:sz w:val="31"/>
          <w:szCs w:val="31"/>
          <w:spacing w:val="20"/>
          <w:position w:val="24"/>
        </w:rPr>
        <w:t>术平均值×</w:t>
      </w:r>
    </w:p>
    <w:p>
      <w:pPr>
        <w:pStyle w:val="BodyText"/>
        <w:ind w:left="169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16"/>
        </w:rPr>
        <w:t>(1-下浮率)+暂列金额与专业工程暂估价的汇总合价×(1+</w:t>
      </w:r>
    </w:p>
    <w:p>
      <w:pPr>
        <w:spacing w:line="220" w:lineRule="auto"/>
        <w:sectPr>
          <w:footerReference w:type="default" r:id="rId3"/>
          <w:pgSz w:w="11900" w:h="16830"/>
          <w:pgMar w:top="1413" w:right="1545" w:bottom="1287" w:left="1740" w:header="0" w:footer="980" w:gutter="0"/>
        </w:sectPr>
        <w:rPr>
          <w:sz w:val="31"/>
          <w:szCs w:val="31"/>
        </w:rPr>
      </w:pPr>
    </w:p>
    <w:p>
      <w:pPr>
        <w:pStyle w:val="BodyText"/>
        <w:spacing w:before="63" w:line="222" w:lineRule="auto"/>
        <w:rPr>
          <w:sz w:val="31"/>
          <w:szCs w:val="31"/>
        </w:rPr>
      </w:pPr>
      <w:r>
        <w:rPr>
          <w:sz w:val="31"/>
          <w:szCs w:val="31"/>
          <w:spacing w:val="23"/>
        </w:rPr>
        <w:t>税率)×下浮率。</w:t>
      </w:r>
    </w:p>
    <w:p>
      <w:pPr>
        <w:pStyle w:val="BodyText"/>
        <w:ind w:left="820"/>
        <w:spacing w:before="277" w:line="223" w:lineRule="auto"/>
        <w:rPr>
          <w:sz w:val="31"/>
          <w:szCs w:val="31"/>
        </w:rPr>
      </w:pPr>
      <w:r>
        <w:rPr>
          <w:sz w:val="31"/>
          <w:szCs w:val="31"/>
          <w:spacing w:val="28"/>
        </w:rPr>
        <w:t>(三)浮动率范围</w:t>
      </w:r>
    </w:p>
    <w:p>
      <w:pPr>
        <w:pStyle w:val="BodyText"/>
        <w:ind w:firstLine="659"/>
        <w:spacing w:before="274" w:line="384" w:lineRule="auto"/>
        <w:rPr>
          <w:sz w:val="31"/>
          <w:szCs w:val="31"/>
        </w:rPr>
      </w:pPr>
      <w:r>
        <w:rPr>
          <w:sz w:val="31"/>
          <w:szCs w:val="31"/>
          <w:spacing w:val="21"/>
        </w:rPr>
        <w:t>房屋建筑工程下浮率抽取范围为3%-6%,市政工程下浮</w:t>
      </w:r>
      <w:r>
        <w:rPr>
          <w:sz w:val="31"/>
          <w:szCs w:val="31"/>
          <w:spacing w:val="7"/>
        </w:rPr>
        <w:t xml:space="preserve"> </w:t>
      </w:r>
      <w:r>
        <w:rPr>
          <w:sz w:val="31"/>
          <w:szCs w:val="31"/>
          <w:spacing w:val="11"/>
        </w:rPr>
        <w:t>率抽取范围为3%-8%,</w:t>
      </w:r>
      <w:r>
        <w:rPr>
          <w:sz w:val="31"/>
          <w:szCs w:val="31"/>
          <w:spacing w:val="-4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P、Q </w:t>
      </w:r>
      <w:r>
        <w:rPr>
          <w:sz w:val="31"/>
          <w:szCs w:val="31"/>
          <w:spacing w:val="11"/>
        </w:rPr>
        <w:t>为进入合理最低价计</w:t>
      </w:r>
      <w:r>
        <w:rPr>
          <w:sz w:val="31"/>
          <w:szCs w:val="31"/>
          <w:spacing w:val="10"/>
        </w:rPr>
        <w:t>算的投标人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3"/>
        </w:rPr>
        <w:t>数×浮动率，计算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P</w:t>
      </w:r>
      <w:r>
        <w:rPr>
          <w:rFonts w:ascii="Times New Roman" w:hAnsi="Times New Roman" w:eastAsia="Times New Roman" w:cs="Times New Roman"/>
          <w:sz w:val="31"/>
          <w:szCs w:val="31"/>
          <w:spacing w:val="-4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、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Q</w:t>
      </w:r>
      <w:r>
        <w:rPr>
          <w:sz w:val="31"/>
          <w:szCs w:val="31"/>
          <w:spacing w:val="13"/>
        </w:rPr>
        <w:t>的浮动率抽取范围</w:t>
      </w:r>
      <w:r>
        <w:rPr>
          <w:sz w:val="31"/>
          <w:szCs w:val="31"/>
          <w:spacing w:val="12"/>
        </w:rPr>
        <w:t>分别为25%-30%、</w:t>
      </w:r>
    </w:p>
    <w:p>
      <w:pPr>
        <w:pStyle w:val="BodyText"/>
        <w:spacing w:before="1" w:line="219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20%-25%。上述百分率均在开标时抽取。</w:t>
      </w:r>
    </w:p>
    <w:p>
      <w:pPr>
        <w:pStyle w:val="BodyText"/>
        <w:ind w:right="34"/>
        <w:spacing w:before="275" w:line="669" w:lineRule="exact"/>
        <w:jc w:val="right"/>
        <w:rPr>
          <w:sz w:val="31"/>
          <w:szCs w:val="31"/>
        </w:rPr>
      </w:pPr>
      <w:r>
        <w:rPr>
          <w:sz w:val="31"/>
          <w:szCs w:val="31"/>
          <w:spacing w:val="4"/>
          <w:position w:val="27"/>
        </w:rPr>
        <w:t>二</w:t>
      </w:r>
      <w:r>
        <w:rPr>
          <w:sz w:val="31"/>
          <w:szCs w:val="31"/>
          <w:spacing w:val="4"/>
          <w:position w:val="27"/>
        </w:rPr>
        <w:t xml:space="preserve"> </w:t>
      </w:r>
      <w:r>
        <w:rPr>
          <w:sz w:val="31"/>
          <w:szCs w:val="31"/>
          <w:spacing w:val="4"/>
          <w:position w:val="27"/>
        </w:rPr>
        <w:t>、取消商务标否决投标条款中“安全防护、文明施工</w:t>
      </w:r>
    </w:p>
    <w:p>
      <w:pPr>
        <w:pStyle w:val="BodyText"/>
        <w:spacing w:before="2" w:line="220" w:lineRule="auto"/>
        <w:rPr>
          <w:sz w:val="31"/>
          <w:szCs w:val="31"/>
        </w:rPr>
      </w:pPr>
      <w:r>
        <w:rPr>
          <w:sz w:val="31"/>
          <w:szCs w:val="31"/>
          <w:spacing w:val="5"/>
        </w:rPr>
        <w:t>费不符合招标文件规定”情形。</w:t>
      </w:r>
    </w:p>
    <w:p>
      <w:pPr>
        <w:pStyle w:val="BodyText"/>
        <w:ind w:right="64"/>
        <w:spacing w:before="270" w:line="641" w:lineRule="exact"/>
        <w:jc w:val="right"/>
        <w:rPr>
          <w:sz w:val="31"/>
          <w:szCs w:val="31"/>
        </w:rPr>
      </w:pPr>
      <w:r>
        <w:rPr>
          <w:sz w:val="31"/>
          <w:szCs w:val="31"/>
          <w:spacing w:val="5"/>
          <w:position w:val="24"/>
        </w:rPr>
        <w:t>三</w:t>
      </w:r>
      <w:r>
        <w:rPr>
          <w:sz w:val="31"/>
          <w:szCs w:val="31"/>
          <w:spacing w:val="-36"/>
          <w:position w:val="24"/>
        </w:rPr>
        <w:t xml:space="preserve"> </w:t>
      </w:r>
      <w:r>
        <w:rPr>
          <w:sz w:val="31"/>
          <w:szCs w:val="31"/>
          <w:spacing w:val="5"/>
          <w:position w:val="24"/>
        </w:rPr>
        <w:t>、取消商务标否决投标条款中“规费未按照招标文件</w:t>
      </w:r>
    </w:p>
    <w:p>
      <w:pPr>
        <w:pStyle w:val="BodyText"/>
        <w:spacing w:before="1" w:line="222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规定费率计取”情形。</w:t>
      </w:r>
    </w:p>
    <w:p>
      <w:pPr>
        <w:pStyle w:val="BodyText"/>
        <w:ind w:right="54" w:firstLine="659"/>
        <w:spacing w:before="274" w:line="383" w:lineRule="auto"/>
        <w:rPr>
          <w:sz w:val="31"/>
          <w:szCs w:val="31"/>
        </w:rPr>
      </w:pPr>
      <w:r>
        <w:rPr>
          <w:sz w:val="31"/>
          <w:szCs w:val="31"/>
          <w:spacing w:val="22"/>
        </w:rPr>
        <w:t>四、本通知自2023年10月1</w:t>
      </w:r>
      <w:r>
        <w:rPr>
          <w:sz w:val="31"/>
          <w:szCs w:val="31"/>
          <w:spacing w:val="-22"/>
        </w:rPr>
        <w:t xml:space="preserve"> </w:t>
      </w:r>
      <w:r>
        <w:rPr>
          <w:sz w:val="31"/>
          <w:szCs w:val="31"/>
          <w:spacing w:val="22"/>
        </w:rPr>
        <w:t>日起施行。自施行之日起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1"/>
        </w:rPr>
        <w:t>发布招标公告的建设工程按本通知规定执行，施行前</w:t>
      </w:r>
      <w:r>
        <w:rPr>
          <w:sz w:val="31"/>
          <w:szCs w:val="31"/>
          <w:spacing w:val="10"/>
        </w:rPr>
        <w:t>已发布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23"/>
        </w:rPr>
        <w:t>招标(资格预审)公告的按原规定执行。本通知未作调整的</w:t>
      </w:r>
    </w:p>
    <w:p>
      <w:pPr>
        <w:pStyle w:val="BodyText"/>
        <w:spacing w:before="2" w:line="220" w:lineRule="auto"/>
        <w:rPr>
          <w:sz w:val="31"/>
          <w:szCs w:val="31"/>
        </w:rPr>
      </w:pPr>
      <w:r>
        <w:rPr>
          <w:sz w:val="31"/>
          <w:szCs w:val="31"/>
          <w:spacing w:val="5"/>
        </w:rPr>
        <w:t>事项按原规定执行。</w:t>
      </w:r>
    </w:p>
    <w:p>
      <w:pPr>
        <w:pStyle w:val="BodyText"/>
        <w:ind w:left="659"/>
        <w:spacing w:before="293" w:line="224" w:lineRule="auto"/>
        <w:rPr>
          <w:sz w:val="31"/>
          <w:szCs w:val="31"/>
        </w:rPr>
      </w:pPr>
      <w:r>
        <w:rPr>
          <w:sz w:val="31"/>
          <w:szCs w:val="31"/>
          <w:spacing w:val="-1"/>
        </w:rPr>
        <w:t>特此通知。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pStyle w:val="BodyText"/>
        <w:ind w:left="2590"/>
        <w:spacing w:before="101" w:line="222" w:lineRule="auto"/>
        <w:rPr>
          <w:sz w:val="31"/>
          <w:szCs w:val="31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2539643</wp:posOffset>
            </wp:positionH>
            <wp:positionV relativeFrom="paragraph">
              <wp:posOffset>-450810</wp:posOffset>
            </wp:positionV>
            <wp:extent cx="1378650" cy="1359254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8650" cy="1359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1"/>
          <w:szCs w:val="31"/>
          <w:spacing w:val="9"/>
        </w:rPr>
        <w:t>上海市建设工程招标投标管理办公室</w:t>
      </w:r>
    </w:p>
    <w:p>
      <w:pPr>
        <w:pStyle w:val="BodyText"/>
        <w:ind w:left="4030"/>
        <w:spacing w:before="257" w:line="222" w:lineRule="auto"/>
        <w:rPr>
          <w:sz w:val="31"/>
          <w:szCs w:val="31"/>
        </w:rPr>
      </w:pPr>
      <w:r>
        <w:rPr>
          <w:sz w:val="31"/>
          <w:szCs w:val="31"/>
          <w:spacing w:val="49"/>
        </w:rPr>
        <w:t>2023年9月15日</w:t>
      </w:r>
    </w:p>
    <w:p>
      <w:pPr>
        <w:spacing w:line="222" w:lineRule="auto"/>
        <w:sectPr>
          <w:footerReference w:type="default" r:id="rId4"/>
          <w:pgSz w:w="11900" w:h="16830"/>
          <w:pgMar w:top="1426" w:right="1714" w:bottom="1227" w:left="1780" w:header="0" w:footer="919" w:gutter="0"/>
        </w:sectPr>
        <w:rPr>
          <w:sz w:val="31"/>
          <w:szCs w:val="31"/>
        </w:rPr>
      </w:pPr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tbl>
      <w:tblPr>
        <w:tblStyle w:val="TableNormal"/>
        <w:tblW w:w="8439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5052"/>
        <w:gridCol w:w="3387"/>
      </w:tblGrid>
      <w:tr>
        <w:trPr>
          <w:trHeight w:val="655" w:hRule="atLeast"/>
        </w:trPr>
        <w:tc>
          <w:tcPr>
            <w:tcW w:w="5052" w:type="dxa"/>
            <w:vAlign w:val="top"/>
            <w:tcBorders>
              <w:bottom w:val="single" w:color="000000" w:sz="4" w:space="0"/>
              <w:top w:val="single" w:color="000000" w:sz="2" w:space="0"/>
            </w:tcBorders>
          </w:tcPr>
          <w:p>
            <w:pPr>
              <w:ind w:left="39"/>
              <w:spacing w:before="204" w:line="222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0"/>
              </w:rPr>
              <w:t>上海市建设工程招标投标管理办公室</w:t>
            </w:r>
          </w:p>
        </w:tc>
        <w:tc>
          <w:tcPr>
            <w:tcW w:w="3387" w:type="dxa"/>
            <w:vAlign w:val="top"/>
            <w:tcBorders>
              <w:bottom w:val="single" w:color="000000" w:sz="4" w:space="0"/>
              <w:top w:val="single" w:color="000000" w:sz="2" w:space="0"/>
            </w:tcBorders>
          </w:tcPr>
          <w:p>
            <w:pPr>
              <w:ind w:right="48"/>
              <w:spacing w:before="202" w:line="222" w:lineRule="auto"/>
              <w:jc w:val="right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33"/>
              </w:rPr>
              <w:t>2023年9月15日印发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6"/>
      <w:pgSz w:w="11900" w:h="16830"/>
      <w:pgMar w:top="1430" w:right="1730" w:bottom="400" w:left="173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0"/>
      <w:spacing w:line="177" w:lineRule="auto"/>
      <w:jc w:val="righ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22"/>
      </w:rPr>
      <w:t>—1—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0"/>
        <w:w w:val="98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4"/>
        <w:w w:val="84"/>
      </w:rPr>
      <w:t>—3</w:t>
    </w:r>
    <w:r>
      <w:rPr>
        <w:rFonts w:ascii="SimSun" w:hAnsi="SimSun" w:eastAsia="SimSun" w:cs="SimSun"/>
        <w:sz w:val="31"/>
        <w:szCs w:val="31"/>
        <w:spacing w:val="-9"/>
        <w:w w:val="84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3"/>
      <w:szCs w:val="3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footer" Target="footer4.xml"/><Relationship Id="rId5" Type="http://schemas.openxmlformats.org/officeDocument/2006/relationships/image" Target="media/image2.png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2023-11-08T10:43:03Z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2023-11-08T10:43:04</vt:filetime>
  </property>
  <property fmtid="{D5CDD505-2E9C-101B-9397-08002B2CF9AE}" pid="4" name="UsrData">
    <vt:lpwstr>654af5b47672e8001f5deafbwl</vt:lpwstr>
  </property>
</Properties>
</file>